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1F28" w14:textId="7DF95442" w:rsidR="000F34D4" w:rsidRPr="00F609FC" w:rsidRDefault="00723221" w:rsidP="000F34D4">
      <w:pPr>
        <w:autoSpaceDE w:val="0"/>
        <w:autoSpaceDN w:val="0"/>
        <w:adjustRightInd w:val="0"/>
        <w:spacing w:after="0" w:line="240" w:lineRule="auto"/>
        <w:jc w:val="center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>RELATÓRIO CONCLUSIVO DE APURAÇÃO PRELIMINAR DE CONDUTA PREVISTA NA LEI Nº 12.846/2013</w:t>
      </w:r>
    </w:p>
    <w:p w14:paraId="4E50E8BC" w14:textId="77777777" w:rsidR="000F34D4" w:rsidRPr="00F609FC" w:rsidRDefault="000F34D4" w:rsidP="00723221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</w:p>
    <w:p w14:paraId="5FC570BB" w14:textId="77777777" w:rsidR="000F34D4" w:rsidRPr="00F609FC" w:rsidRDefault="00723221" w:rsidP="00723221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 xml:space="preserve">Processo: </w:t>
      </w:r>
    </w:p>
    <w:p w14:paraId="132B0A11" w14:textId="77777777" w:rsidR="000F34D4" w:rsidRPr="00F609FC" w:rsidRDefault="00723221" w:rsidP="00723221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 xml:space="preserve">Órgão ou ente envolvido: </w:t>
      </w:r>
    </w:p>
    <w:p w14:paraId="7C1416E3" w14:textId="77777777" w:rsidR="000F34D4" w:rsidRPr="00F609FC" w:rsidRDefault="00723221" w:rsidP="00723221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 xml:space="preserve">Investigado(s): </w:t>
      </w:r>
    </w:p>
    <w:p w14:paraId="2174193F" w14:textId="77777777" w:rsidR="000F34D4" w:rsidRPr="00F609FC" w:rsidRDefault="000F34D4" w:rsidP="00723221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</w:p>
    <w:p w14:paraId="2EA8C39F" w14:textId="4A2E6AEE" w:rsidR="000F34D4" w:rsidRPr="00F609FC" w:rsidRDefault="000F34D4" w:rsidP="000F34D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OpenSans-Bold"/>
          <w:kern w:val="0"/>
        </w:rPr>
      </w:pPr>
      <w:r w:rsidRPr="00F609FC">
        <w:rPr>
          <w:rFonts w:cs="OpenSans-Bold"/>
          <w:kern w:val="0"/>
        </w:rPr>
        <w:t>Notícia de irregularidade [</w:t>
      </w:r>
      <w:r w:rsidRPr="00F609FC">
        <w:rPr>
          <w:rFonts w:cs="OpenSans-Bold"/>
          <w:kern w:val="0"/>
          <w:highlight w:val="lightGray"/>
        </w:rPr>
        <w:t>ORIGEM</w:t>
      </w:r>
      <w:r w:rsidRPr="00F609FC">
        <w:rPr>
          <w:rFonts w:cs="OpenSans-Bold"/>
          <w:kern w:val="0"/>
        </w:rPr>
        <w:t>]. [</w:t>
      </w:r>
      <w:r w:rsidRPr="00F609FC">
        <w:rPr>
          <w:rFonts w:cs="OpenSans-Bold"/>
          <w:kern w:val="0"/>
          <w:highlight w:val="lightGray"/>
        </w:rPr>
        <w:t>CONDUTAS</w:t>
      </w:r>
      <w:r w:rsidRPr="00F609FC">
        <w:rPr>
          <w:rFonts w:cs="OpenSans-Bold"/>
          <w:kern w:val="0"/>
        </w:rPr>
        <w:t>]. [</w:t>
      </w:r>
      <w:r w:rsidRPr="00F609FC">
        <w:rPr>
          <w:rFonts w:cs="OpenSans-Bold"/>
          <w:kern w:val="0"/>
          <w:highlight w:val="lightGray"/>
        </w:rPr>
        <w:t>EVIDÊNCIA</w:t>
      </w:r>
      <w:r w:rsidR="00F609FC" w:rsidRPr="00F609FC">
        <w:rPr>
          <w:rFonts w:cs="OpenSans-Bold"/>
          <w:kern w:val="0"/>
          <w:highlight w:val="lightGray"/>
        </w:rPr>
        <w:t xml:space="preserve"> </w:t>
      </w:r>
      <w:r w:rsidRPr="00F609FC">
        <w:rPr>
          <w:rFonts w:cs="OpenSans-Bold"/>
          <w:kern w:val="0"/>
          <w:highlight w:val="lightGray"/>
        </w:rPr>
        <w:t>PRINCIPAL</w:t>
      </w:r>
      <w:r w:rsidRPr="00F609FC">
        <w:rPr>
          <w:rFonts w:cs="OpenSans-Bold"/>
          <w:kern w:val="0"/>
        </w:rPr>
        <w:t>].</w:t>
      </w:r>
      <w:r w:rsidR="00F609FC">
        <w:rPr>
          <w:rFonts w:cs="OpenSans-Bold"/>
          <w:kern w:val="0"/>
        </w:rPr>
        <w:t xml:space="preserve"> </w:t>
      </w:r>
      <w:r w:rsidRPr="00F609FC">
        <w:rPr>
          <w:rFonts w:cs="OpenSans-Bold"/>
          <w:kern w:val="0"/>
        </w:rPr>
        <w:t>[</w:t>
      </w:r>
      <w:r w:rsidRPr="00F609FC">
        <w:rPr>
          <w:rFonts w:cs="OpenSans-Bold"/>
          <w:kern w:val="0"/>
          <w:highlight w:val="lightGray"/>
        </w:rPr>
        <w:t>ENQUADRAMENTO DA CONDUTA</w:t>
      </w:r>
      <w:r w:rsidRPr="00F609FC">
        <w:rPr>
          <w:rFonts w:cs="OpenSans-Bold"/>
          <w:kern w:val="0"/>
        </w:rPr>
        <w:t>].</w:t>
      </w:r>
      <w:r w:rsidR="00F609FC">
        <w:rPr>
          <w:rFonts w:cs="OpenSans-Bold"/>
          <w:kern w:val="0"/>
        </w:rPr>
        <w:t xml:space="preserve"> </w:t>
      </w:r>
      <w:r w:rsidRPr="00F609FC">
        <w:rPr>
          <w:rFonts w:cs="OpenSans-Bold"/>
          <w:kern w:val="0"/>
        </w:rPr>
        <w:t xml:space="preserve"> [</w:t>
      </w:r>
      <w:r w:rsidRPr="00F609FC">
        <w:rPr>
          <w:rFonts w:cs="OpenSans-Bold"/>
          <w:kern w:val="0"/>
          <w:highlight w:val="lightGray"/>
        </w:rPr>
        <w:t>RECOMENDAÇÃO</w:t>
      </w:r>
      <w:r w:rsidRPr="00F609FC">
        <w:rPr>
          <w:rFonts w:cs="OpenSans-Bold"/>
          <w:kern w:val="0"/>
        </w:rPr>
        <w:t xml:space="preserve">].  </w:t>
      </w:r>
    </w:p>
    <w:p w14:paraId="1B657ADD" w14:textId="77777777" w:rsidR="000F34D4" w:rsidRPr="00F609FC" w:rsidRDefault="000F34D4" w:rsidP="000F34D4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</w:p>
    <w:p w14:paraId="17A42D7D" w14:textId="77777777" w:rsidR="000F34D4" w:rsidRPr="00F609FC" w:rsidRDefault="000F34D4" w:rsidP="000F34D4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</w:p>
    <w:p w14:paraId="7A9AA3C7" w14:textId="77777777" w:rsidR="000F34D4" w:rsidRPr="00F609FC" w:rsidRDefault="000F34D4" w:rsidP="000F34D4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</w:p>
    <w:p w14:paraId="7FFDBEB6" w14:textId="235C4D2E" w:rsidR="000F34D4" w:rsidRPr="00F609FC" w:rsidRDefault="00F609FC" w:rsidP="00F609FC">
      <w:pPr>
        <w:autoSpaceDE w:val="0"/>
        <w:autoSpaceDN w:val="0"/>
        <w:adjustRightInd w:val="0"/>
        <w:spacing w:after="0" w:line="240" w:lineRule="auto"/>
        <w:rPr>
          <w:rFonts w:cs="OpenSans-Bold"/>
          <w:b/>
          <w:bCs/>
          <w:kern w:val="0"/>
        </w:rPr>
      </w:pPr>
      <w:r>
        <w:rPr>
          <w:rFonts w:cs="OpenSans-Bold"/>
          <w:b/>
          <w:bCs/>
          <w:kern w:val="0"/>
        </w:rPr>
        <w:t xml:space="preserve">1. </w:t>
      </w:r>
      <w:r w:rsidR="00723221" w:rsidRPr="00F609FC">
        <w:rPr>
          <w:rFonts w:cs="OpenSans-Bold"/>
          <w:b/>
          <w:bCs/>
          <w:kern w:val="0"/>
        </w:rPr>
        <w:t xml:space="preserve">Escopo da Apuração </w:t>
      </w:r>
    </w:p>
    <w:p w14:paraId="3AE81370" w14:textId="77777777" w:rsidR="000F34D4" w:rsidRPr="00F609FC" w:rsidRDefault="000F34D4" w:rsidP="000F34D4">
      <w:pPr>
        <w:autoSpaceDE w:val="0"/>
        <w:autoSpaceDN w:val="0"/>
        <w:adjustRightInd w:val="0"/>
        <w:spacing w:after="0" w:line="240" w:lineRule="auto"/>
        <w:ind w:left="360"/>
        <w:rPr>
          <w:rFonts w:cs="OpenSans-Bold"/>
          <w:b/>
          <w:bCs/>
          <w:kern w:val="0"/>
        </w:rPr>
      </w:pPr>
    </w:p>
    <w:p w14:paraId="6211AE16" w14:textId="77777777" w:rsidR="00DD5B6C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kern w:val="0"/>
        </w:rPr>
      </w:pPr>
      <w:r w:rsidRPr="00F609FC">
        <w:rPr>
          <w:rFonts w:cs="OpenSans-Bold"/>
          <w:kern w:val="0"/>
        </w:rPr>
        <w:t>Trata-se de apuração preliminar instaurada por meio da Portaria [</w:t>
      </w:r>
      <w:r w:rsidRPr="00F609FC">
        <w:rPr>
          <w:rFonts w:cs="OpenSans-Bold"/>
          <w:kern w:val="0"/>
          <w:highlight w:val="lightGray"/>
        </w:rPr>
        <w:t>sigla do órgão</w:t>
      </w:r>
      <w:r w:rsidRPr="00F609FC">
        <w:rPr>
          <w:rFonts w:cs="OpenSans-Bold"/>
          <w:kern w:val="0"/>
        </w:rPr>
        <w:t xml:space="preserve">]  nº </w:t>
      </w:r>
      <w:r w:rsidRPr="00F609FC">
        <w:rPr>
          <w:rFonts w:cs="OpenSans-Bold"/>
          <w:kern w:val="0"/>
          <w:highlight w:val="lightGray"/>
        </w:rPr>
        <w:t>XXXXXX</w:t>
      </w:r>
      <w:r w:rsidRPr="00F609FC">
        <w:rPr>
          <w:rFonts w:cs="OpenSans-Bold"/>
          <w:kern w:val="0"/>
        </w:rPr>
        <w:t xml:space="preserve">, de </w:t>
      </w:r>
      <w:r w:rsidRPr="00F609FC">
        <w:rPr>
          <w:rFonts w:cs="OpenSans-Bold"/>
          <w:kern w:val="0"/>
          <w:highlight w:val="lightGray"/>
        </w:rPr>
        <w:t xml:space="preserve">X </w:t>
      </w:r>
      <w:r w:rsidRPr="00F609FC">
        <w:rPr>
          <w:rFonts w:cs="OpenSans-Bold"/>
          <w:kern w:val="0"/>
        </w:rPr>
        <w:t xml:space="preserve">de </w:t>
      </w:r>
      <w:r w:rsidRPr="00F609FC">
        <w:rPr>
          <w:rFonts w:cs="OpenSans-Bold"/>
          <w:kern w:val="0"/>
          <w:highlight w:val="lightGray"/>
        </w:rPr>
        <w:t>XXXXX</w:t>
      </w:r>
      <w:r w:rsidRPr="00F609FC">
        <w:rPr>
          <w:rFonts w:cs="OpenSans-Bold"/>
          <w:kern w:val="0"/>
        </w:rPr>
        <w:t xml:space="preserve"> de </w:t>
      </w:r>
      <w:r w:rsidRPr="00F609FC">
        <w:rPr>
          <w:rFonts w:cs="OpenSans-Bold"/>
          <w:kern w:val="0"/>
          <w:highlight w:val="lightGray"/>
        </w:rPr>
        <w:t>XXXX</w:t>
      </w:r>
      <w:r w:rsidRPr="00F609FC">
        <w:rPr>
          <w:rFonts w:cs="OpenSans-Bold"/>
          <w:kern w:val="0"/>
        </w:rPr>
        <w:t>, com vistas a coletar informações acerca de [</w:t>
      </w:r>
      <w:r w:rsidRPr="00F609FC">
        <w:rPr>
          <w:rFonts w:cs="OpenSans-Bold"/>
          <w:kern w:val="0"/>
          <w:highlight w:val="lightGray"/>
        </w:rPr>
        <w:t>escopo descrito na Portaria</w:t>
      </w:r>
      <w:r w:rsidRPr="00F609FC">
        <w:rPr>
          <w:rFonts w:cs="OpenSans-Bold"/>
          <w:kern w:val="0"/>
        </w:rPr>
        <w:t xml:space="preserve">]. </w:t>
      </w:r>
    </w:p>
    <w:p w14:paraId="20FFF93E" w14:textId="77777777" w:rsidR="00F609FC" w:rsidRPr="00F609FC" w:rsidRDefault="00F609FC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7F59DB05" w14:textId="77777777" w:rsidR="00F609FC" w:rsidRDefault="00F609FC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410D98F0" w14:textId="176E5905" w:rsidR="00DD5B6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>2. Instrução e informações coletadas</w:t>
      </w:r>
    </w:p>
    <w:p w14:paraId="61766E32" w14:textId="77777777" w:rsidR="00F609FC" w:rsidRPr="00F609FC" w:rsidRDefault="00F609FC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2C97F355" w14:textId="77777777" w:rsidR="00DD5B6C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 xml:space="preserve">2.1. Informações oriundas da notícia de irregularidade </w:t>
      </w:r>
    </w:p>
    <w:p w14:paraId="1FDBF423" w14:textId="281AF0E3" w:rsidR="00723221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kern w:val="0"/>
        </w:rPr>
      </w:pPr>
      <w:r w:rsidRPr="00F609FC">
        <w:rPr>
          <w:rFonts w:cs="OpenSans-Bold"/>
          <w:kern w:val="0"/>
        </w:rPr>
        <w:t>[</w:t>
      </w:r>
      <w:r w:rsidRPr="00F609FC">
        <w:rPr>
          <w:rFonts w:cs="OpenSans-Bold"/>
          <w:kern w:val="0"/>
          <w:highlight w:val="lightGray"/>
        </w:rPr>
        <w:t>Informações e evidências da notícia de irregularidade</w:t>
      </w:r>
      <w:r w:rsidRPr="00F609FC">
        <w:rPr>
          <w:rFonts w:cs="OpenSans-Bold"/>
          <w:kern w:val="0"/>
        </w:rPr>
        <w:t>]</w:t>
      </w:r>
    </w:p>
    <w:p w14:paraId="47D45907" w14:textId="77777777" w:rsidR="00723221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33EA976D" w14:textId="77777777" w:rsidR="00F609FC" w:rsidRPr="00F609FC" w:rsidRDefault="00F609FC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274AB020" w14:textId="77777777" w:rsidR="00723221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  <w:r w:rsidRPr="00F609FC">
        <w:rPr>
          <w:rFonts w:cs="OpenSans-Bold"/>
          <w:b/>
          <w:bCs/>
          <w:kern w:val="0"/>
        </w:rPr>
        <w:t xml:space="preserve">2.2. Atos instrucionais realizados e informações obtidas: </w:t>
      </w:r>
    </w:p>
    <w:p w14:paraId="5B12D97D" w14:textId="77777777" w:rsidR="00723221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560"/>
        <w:gridCol w:w="2970"/>
      </w:tblGrid>
      <w:tr w:rsidR="00F609FC" w14:paraId="36794BFD" w14:textId="77777777" w:rsidTr="00B02578">
        <w:tc>
          <w:tcPr>
            <w:tcW w:w="988" w:type="dxa"/>
            <w:shd w:val="clear" w:color="auto" w:fill="C1E4F5" w:themeFill="accent1" w:themeFillTint="33"/>
            <w:vAlign w:val="center"/>
          </w:tcPr>
          <w:p w14:paraId="4800BFCE" w14:textId="77777777" w:rsidR="00F609FC" w:rsidRPr="00D83B2F" w:rsidRDefault="00F609FC" w:rsidP="00B02578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Data</w:t>
            </w:r>
          </w:p>
        </w:tc>
        <w:tc>
          <w:tcPr>
            <w:tcW w:w="2976" w:type="dxa"/>
            <w:shd w:val="clear" w:color="auto" w:fill="C1E4F5" w:themeFill="accent1" w:themeFillTint="33"/>
            <w:vAlign w:val="center"/>
          </w:tcPr>
          <w:p w14:paraId="5FCB26C3" w14:textId="77777777" w:rsidR="00F609FC" w:rsidRPr="00D83B2F" w:rsidRDefault="00F609FC" w:rsidP="00B02578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Ato</w:t>
            </w:r>
          </w:p>
        </w:tc>
        <w:tc>
          <w:tcPr>
            <w:tcW w:w="1560" w:type="dxa"/>
            <w:shd w:val="clear" w:color="auto" w:fill="C1E4F5" w:themeFill="accent1" w:themeFillTint="33"/>
            <w:vAlign w:val="center"/>
          </w:tcPr>
          <w:p w14:paraId="0F9AFA62" w14:textId="77777777" w:rsidR="00F609FC" w:rsidRPr="00D83B2F" w:rsidRDefault="00F609FC" w:rsidP="00B02578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Data da informação</w:t>
            </w:r>
          </w:p>
        </w:tc>
        <w:tc>
          <w:tcPr>
            <w:tcW w:w="2970" w:type="dxa"/>
            <w:shd w:val="clear" w:color="auto" w:fill="C1E4F5" w:themeFill="accent1" w:themeFillTint="33"/>
            <w:vAlign w:val="center"/>
          </w:tcPr>
          <w:p w14:paraId="47843886" w14:textId="77777777" w:rsidR="00F609FC" w:rsidRPr="00D83B2F" w:rsidRDefault="00F609FC" w:rsidP="00B02578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 xml:space="preserve">Informações (com indicação do número </w:t>
            </w:r>
            <w:proofErr w:type="spellStart"/>
            <w:r w:rsidRPr="00D83B2F">
              <w:rPr>
                <w:sz w:val="20"/>
                <w:szCs w:val="20"/>
              </w:rPr>
              <w:t>no</w:t>
            </w:r>
            <w:proofErr w:type="spellEnd"/>
            <w:r w:rsidRPr="00D83B2F">
              <w:rPr>
                <w:sz w:val="20"/>
                <w:szCs w:val="20"/>
              </w:rPr>
              <w:t xml:space="preserve"> SEI)</w:t>
            </w:r>
          </w:p>
        </w:tc>
      </w:tr>
      <w:tr w:rsidR="00F609FC" w14:paraId="33FAFE4E" w14:textId="77777777" w:rsidTr="00B02578">
        <w:trPr>
          <w:trHeight w:val="405"/>
        </w:trPr>
        <w:tc>
          <w:tcPr>
            <w:tcW w:w="988" w:type="dxa"/>
            <w:vAlign w:val="center"/>
          </w:tcPr>
          <w:p w14:paraId="6665048C" w14:textId="77777777" w:rsidR="00F609FC" w:rsidRDefault="00F609FC" w:rsidP="00B02578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C6C4E51" w14:textId="77777777" w:rsidR="00F609FC" w:rsidRDefault="00F609FC" w:rsidP="00B0257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20562FF" w14:textId="77777777" w:rsidR="00F609FC" w:rsidRDefault="00F609FC" w:rsidP="00B02578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3B3CE37" w14:textId="77777777" w:rsidR="00F609FC" w:rsidRDefault="00F609FC" w:rsidP="00B02578">
            <w:pPr>
              <w:jc w:val="center"/>
            </w:pPr>
          </w:p>
        </w:tc>
      </w:tr>
    </w:tbl>
    <w:p w14:paraId="15AD8D1F" w14:textId="77777777" w:rsidR="00723221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37D20E28" w14:textId="77777777" w:rsidR="00723221" w:rsidRPr="00F609FC" w:rsidRDefault="00723221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/>
          <w:bCs/>
          <w:kern w:val="0"/>
        </w:rPr>
      </w:pPr>
    </w:p>
    <w:p w14:paraId="0A8AA444" w14:textId="77777777" w:rsidR="00F609FC" w:rsidRDefault="00F609FC" w:rsidP="00F609FC">
      <w:pPr>
        <w:jc w:val="both"/>
      </w:pPr>
      <w:r w:rsidRPr="005F5298">
        <w:rPr>
          <w:b/>
          <w:bCs/>
        </w:rPr>
        <w:t>2.3. Testes realizados</w:t>
      </w:r>
      <w:r w:rsidRPr="00AA7FBA">
        <w:t xml:space="preserve"> </w:t>
      </w:r>
    </w:p>
    <w:p w14:paraId="03CC7EDA" w14:textId="77777777" w:rsidR="00F609FC" w:rsidRDefault="00F609FC" w:rsidP="00F609FC">
      <w:pPr>
        <w:jc w:val="both"/>
      </w:pPr>
      <w:r w:rsidRPr="00AA7FBA">
        <w:t>[</w:t>
      </w:r>
      <w:r w:rsidRPr="00D83B2F">
        <w:rPr>
          <w:highlight w:val="lightGray"/>
        </w:rPr>
        <w:t>Descrever métodos de análise realizados a fim de alcançar as conclusões que serão apresentadas no relatório, tais como cruzamento de bases de dados, exame de registros audiovisuais, cálculos contábeis e atuariais, testes periciais, exame e comparação dos relatos etc</w:t>
      </w:r>
      <w:r w:rsidRPr="00AA7FBA">
        <w:t xml:space="preserve">.] </w:t>
      </w:r>
    </w:p>
    <w:p w14:paraId="572B22DF" w14:textId="77777777" w:rsidR="00F609FC" w:rsidRDefault="00F609FC" w:rsidP="00F609FC">
      <w:pPr>
        <w:jc w:val="both"/>
      </w:pPr>
    </w:p>
    <w:p w14:paraId="2CE5AF43" w14:textId="77777777" w:rsidR="00F609FC" w:rsidRPr="005F5298" w:rsidRDefault="00F609FC" w:rsidP="00F609FC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5F5298">
        <w:rPr>
          <w:b/>
          <w:bCs/>
        </w:rPr>
        <w:t xml:space="preserve">Relato da ocorrência e análise das informações </w:t>
      </w:r>
    </w:p>
    <w:p w14:paraId="0281668D" w14:textId="77777777" w:rsidR="00F609FC" w:rsidRDefault="00F609FC" w:rsidP="00F609FC">
      <w:pPr>
        <w:ind w:left="45"/>
        <w:jc w:val="both"/>
      </w:pPr>
      <w:r w:rsidRPr="00AA7FBA">
        <w:t>[</w:t>
      </w:r>
      <w:r w:rsidRPr="00D83B2F">
        <w:rPr>
          <w:highlight w:val="lightGray"/>
        </w:rPr>
        <w:t>Narrativa de forma coerente e cronológica da prática irregular, com indicação das evidências citadas no item 2</w:t>
      </w:r>
      <w:r w:rsidRPr="00AA7FBA">
        <w:t>]</w:t>
      </w:r>
    </w:p>
    <w:p w14:paraId="3947CE18" w14:textId="77777777" w:rsidR="00F609FC" w:rsidRPr="005F5298" w:rsidRDefault="00F609FC" w:rsidP="00F609FC">
      <w:pPr>
        <w:pStyle w:val="PargrafodaLista"/>
        <w:numPr>
          <w:ilvl w:val="1"/>
          <w:numId w:val="4"/>
        </w:numPr>
        <w:jc w:val="both"/>
        <w:rPr>
          <w:b/>
          <w:bCs/>
        </w:rPr>
      </w:pPr>
      <w:r w:rsidRPr="005F5298">
        <w:rPr>
          <w:b/>
          <w:bCs/>
        </w:rPr>
        <w:t xml:space="preserve">Dano evidenciado </w:t>
      </w:r>
    </w:p>
    <w:p w14:paraId="12BA4245" w14:textId="77777777" w:rsidR="00F609FC" w:rsidRDefault="00F609FC" w:rsidP="00F609FC">
      <w:pPr>
        <w:ind w:left="45"/>
        <w:jc w:val="both"/>
      </w:pPr>
      <w:r w:rsidRPr="00AA7FBA">
        <w:t>[</w:t>
      </w:r>
      <w:r w:rsidRPr="00D83B2F">
        <w:rPr>
          <w:highlight w:val="lightGray"/>
        </w:rPr>
        <w:t>Descrever os danos e, quando possível, a sua quantificação</w:t>
      </w:r>
      <w:r w:rsidRPr="00AA7FBA">
        <w:t>]</w:t>
      </w:r>
    </w:p>
    <w:p w14:paraId="7714C493" w14:textId="77777777" w:rsidR="00F92FC3" w:rsidRPr="00F609FC" w:rsidRDefault="00F92FC3" w:rsidP="00F609FC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kern w:val="0"/>
        </w:rPr>
      </w:pPr>
    </w:p>
    <w:p w14:paraId="26B099C2" w14:textId="75A5DA94" w:rsidR="00F92FC3" w:rsidRPr="00F609FC" w:rsidRDefault="00F609FC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lastRenderedPageBreak/>
        <w:t xml:space="preserve">4. </w:t>
      </w:r>
      <w:r w:rsidR="00723221" w:rsidRPr="00F609FC">
        <w:rPr>
          <w:b/>
          <w:bCs/>
        </w:rPr>
        <w:t xml:space="preserve">Regime jurídico aplicável e Tipicidade da conduta </w:t>
      </w:r>
    </w:p>
    <w:p w14:paraId="409F34EE" w14:textId="5A51A289" w:rsidR="00723221" w:rsidRPr="00F609FC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Indicar o vínculo da pessoa jurídica com o Estado, o regime jurídico a que está submetida e a tipificação do ato lesivo</w:t>
      </w:r>
      <w:r w:rsidRPr="00F609FC">
        <w:t>.]</w:t>
      </w:r>
    </w:p>
    <w:p w14:paraId="3EC8C545" w14:textId="77777777" w:rsidR="00723221" w:rsidRPr="00F609FC" w:rsidRDefault="00723221" w:rsidP="00F609FC">
      <w:pPr>
        <w:spacing w:line="240" w:lineRule="auto"/>
        <w:jc w:val="both"/>
      </w:pPr>
    </w:p>
    <w:p w14:paraId="18A8E6D0" w14:textId="7B897D7B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4.1</w:t>
      </w:r>
      <w:r w:rsidR="00F609FC">
        <w:rPr>
          <w:b/>
          <w:bCs/>
        </w:rPr>
        <w:t>.</w:t>
      </w:r>
      <w:r w:rsidRPr="00F609FC">
        <w:rPr>
          <w:b/>
          <w:bCs/>
        </w:rPr>
        <w:t xml:space="preserve"> Da constituição de fato da pessoa jurídica</w:t>
      </w:r>
    </w:p>
    <w:p w14:paraId="268B5E69" w14:textId="1BB873FC" w:rsidR="00723221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Caso a Empresa apenas possa ser enquadrada na LAC por ser de fato, e não de direito, apresentar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tese e evidências</w:t>
      </w:r>
      <w:r w:rsidRPr="00F609FC">
        <w:t>]</w:t>
      </w:r>
    </w:p>
    <w:p w14:paraId="3BBA1054" w14:textId="77777777" w:rsidR="00F609FC" w:rsidRPr="00F609FC" w:rsidRDefault="00F609FC" w:rsidP="00F609FC">
      <w:pPr>
        <w:spacing w:line="240" w:lineRule="auto"/>
        <w:jc w:val="both"/>
      </w:pPr>
    </w:p>
    <w:p w14:paraId="4BB199AA" w14:textId="77777777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5. Competência sancionatória e Prescrição</w:t>
      </w:r>
    </w:p>
    <w:p w14:paraId="7760FF72" w14:textId="77777777" w:rsidR="00723221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Indicação da competência sancionatória e dos prazos prescricionais dos atos lesivos</w:t>
      </w:r>
      <w:r w:rsidRPr="00F609FC">
        <w:t>]</w:t>
      </w:r>
    </w:p>
    <w:p w14:paraId="6DE16917" w14:textId="77777777" w:rsidR="00F609FC" w:rsidRPr="00F609FC" w:rsidRDefault="00F609FC" w:rsidP="00F609FC">
      <w:pPr>
        <w:spacing w:line="240" w:lineRule="auto"/>
        <w:jc w:val="both"/>
      </w:pPr>
    </w:p>
    <w:p w14:paraId="5F34BFCF" w14:textId="77777777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6. Medidas acautelatórias</w:t>
      </w:r>
    </w:p>
    <w:p w14:paraId="6356F862" w14:textId="5C51DAC7" w:rsidR="00723221" w:rsidRPr="00F609FC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Indicar de modo fundamentado a eventual necessidade de adoção de medidas acautelatórias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por parte da autoridade instauradora</w:t>
      </w:r>
      <w:r w:rsidRPr="00F609FC">
        <w:t>.]</w:t>
      </w:r>
    </w:p>
    <w:p w14:paraId="49B51C9D" w14:textId="77777777" w:rsidR="00723221" w:rsidRPr="00F609FC" w:rsidRDefault="00723221" w:rsidP="00F609FC">
      <w:pPr>
        <w:spacing w:line="240" w:lineRule="auto"/>
        <w:jc w:val="both"/>
      </w:pPr>
    </w:p>
    <w:p w14:paraId="0FFBBB8B" w14:textId="77777777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7. Parâmetros de base de cálculo de multa por ato lesivo previsto na LAC</w:t>
      </w:r>
    </w:p>
    <w:p w14:paraId="47567FE3" w14:textId="77777777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7.1 Faturamento bruto no exercício anterior</w:t>
      </w:r>
    </w:p>
    <w:p w14:paraId="702DBBE4" w14:textId="0A72B521" w:rsidR="00723221" w:rsidRPr="00F609FC" w:rsidRDefault="00723221" w:rsidP="00F609FC">
      <w:pPr>
        <w:spacing w:line="240" w:lineRule="auto"/>
        <w:jc w:val="both"/>
      </w:pPr>
      <w:r w:rsidRPr="00F609FC">
        <w:t>Segundo dados do Demonstrativo de Resultados do Exercício apresentados pela Receita Federal,</w:t>
      </w:r>
      <w:r w:rsidR="00F609FC">
        <w:t xml:space="preserve"> </w:t>
      </w:r>
      <w:r w:rsidRPr="00F609FC">
        <w:t>no ano de [</w:t>
      </w:r>
      <w:r w:rsidRPr="00F609FC">
        <w:rPr>
          <w:highlight w:val="lightGray"/>
        </w:rPr>
        <w:t>ano anterior ao ato lesivo</w:t>
      </w:r>
      <w:r w:rsidRPr="00F609FC">
        <w:t>], a investigada apresentou faturamento bruto de R$ [</w:t>
      </w:r>
      <w:r w:rsidRPr="00F609FC">
        <w:rPr>
          <w:highlight w:val="lightGray"/>
        </w:rPr>
        <w:t>valor</w:t>
      </w:r>
      <w:r w:rsidRPr="00F609FC">
        <w:t>].</w:t>
      </w:r>
      <w:r w:rsidR="00F609FC">
        <w:t xml:space="preserve"> </w:t>
      </w:r>
      <w:r w:rsidRPr="00F609FC">
        <w:t>Aplicados os devidos descontos previstos no Decreto n 69.588, de 2025, tem-se que a base de</w:t>
      </w:r>
      <w:r w:rsidR="00F609FC">
        <w:t xml:space="preserve"> </w:t>
      </w:r>
      <w:r w:rsidRPr="00F609FC">
        <w:t>cálculo para a definição de multa no presente caso é de R$ [</w:t>
      </w:r>
      <w:r w:rsidRPr="00F609FC">
        <w:rPr>
          <w:highlight w:val="lightGray"/>
        </w:rPr>
        <w:t>valor</w:t>
      </w:r>
      <w:r w:rsidRPr="00F609FC">
        <w:t>].</w:t>
      </w:r>
    </w:p>
    <w:p w14:paraId="30990BA3" w14:textId="77777777" w:rsidR="00F92FC3" w:rsidRPr="00F609FC" w:rsidRDefault="00F92FC3" w:rsidP="00F609FC">
      <w:pPr>
        <w:spacing w:line="240" w:lineRule="auto"/>
        <w:jc w:val="both"/>
      </w:pPr>
    </w:p>
    <w:p w14:paraId="258E0F64" w14:textId="77777777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7.2 Valores de vantagem auferida ou pretendida</w:t>
      </w:r>
    </w:p>
    <w:p w14:paraId="50E5A109" w14:textId="0F218F53" w:rsidR="00723221" w:rsidRPr="00F609FC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Indicar os valores quantificáveis de vantagem pretendida ou auferida por meio da prática do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ato lesivo. no segundo caso, quando a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pessoa jurídica indicar os custos lícitos da execução de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contrato com a Administração obtido de forma fraudulenta, estes deverão ser descontados do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valor total do contrato</w:t>
      </w:r>
      <w:r w:rsidRPr="00F609FC">
        <w:t>]</w:t>
      </w:r>
    </w:p>
    <w:p w14:paraId="62445ADE" w14:textId="77777777" w:rsidR="00F92FC3" w:rsidRPr="00F609FC" w:rsidRDefault="00F92FC3" w:rsidP="00F609FC">
      <w:pPr>
        <w:spacing w:line="240" w:lineRule="auto"/>
        <w:jc w:val="both"/>
      </w:pPr>
    </w:p>
    <w:p w14:paraId="145FA911" w14:textId="293B47F5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8. Desconsideração da personalidade jurídica</w:t>
      </w:r>
    </w:p>
    <w:p w14:paraId="332DEC49" w14:textId="1B667528" w:rsidR="00723221" w:rsidRPr="00F609FC" w:rsidRDefault="00723221" w:rsidP="00F609FC">
      <w:pPr>
        <w:spacing w:line="240" w:lineRule="auto"/>
        <w:jc w:val="both"/>
      </w:pPr>
      <w:r w:rsidRPr="00F609FC">
        <w:t>[</w:t>
      </w:r>
      <w:r w:rsidRPr="00F609FC">
        <w:rPr>
          <w:highlight w:val="lightGray"/>
        </w:rPr>
        <w:t>Aplicável quando verificada a utilização de sociedade para encobrir reais beneficiários da ação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ou confusão patrimonial entre empresa e quadro societário. Caso seja identificada tal situação,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o item deverá apontar as evidências nos autos que indiquem a necessidade de desconsideração</w:t>
      </w:r>
      <w:r w:rsidR="00F609FC" w:rsidRPr="00F609FC">
        <w:rPr>
          <w:highlight w:val="lightGray"/>
        </w:rPr>
        <w:t xml:space="preserve"> </w:t>
      </w:r>
      <w:r w:rsidRPr="00F609FC">
        <w:rPr>
          <w:highlight w:val="lightGray"/>
        </w:rPr>
        <w:t>da personalida</w:t>
      </w:r>
      <w:r w:rsidR="00F609FC" w:rsidRPr="00F609FC">
        <w:rPr>
          <w:highlight w:val="lightGray"/>
        </w:rPr>
        <w:t>d</w:t>
      </w:r>
      <w:r w:rsidRPr="00F609FC">
        <w:rPr>
          <w:highlight w:val="lightGray"/>
        </w:rPr>
        <w:t>e jurídica.]</w:t>
      </w:r>
    </w:p>
    <w:p w14:paraId="5997A254" w14:textId="77777777" w:rsidR="00F92FC3" w:rsidRPr="00F609FC" w:rsidRDefault="00F92FC3" w:rsidP="00F609FC">
      <w:pPr>
        <w:spacing w:line="240" w:lineRule="auto"/>
        <w:jc w:val="both"/>
      </w:pPr>
    </w:p>
    <w:p w14:paraId="41A4884A" w14:textId="26D42220" w:rsidR="00723221" w:rsidRPr="00F609FC" w:rsidRDefault="00723221" w:rsidP="00F609FC">
      <w:pPr>
        <w:spacing w:line="240" w:lineRule="auto"/>
        <w:jc w:val="both"/>
        <w:rPr>
          <w:b/>
          <w:bCs/>
        </w:rPr>
      </w:pPr>
      <w:r w:rsidRPr="00F609FC">
        <w:rPr>
          <w:b/>
          <w:bCs/>
        </w:rPr>
        <w:t>9. Conclusão</w:t>
      </w:r>
    </w:p>
    <w:p w14:paraId="600D5C64" w14:textId="77777777" w:rsidR="00723221" w:rsidRPr="00F609FC" w:rsidRDefault="00723221" w:rsidP="00F609FC">
      <w:pPr>
        <w:spacing w:line="240" w:lineRule="auto"/>
        <w:jc w:val="both"/>
      </w:pPr>
      <w:r w:rsidRPr="00F609FC">
        <w:t>Ante o exposto, recomenda-se:</w:t>
      </w:r>
    </w:p>
    <w:p w14:paraId="7B9E5C8A" w14:textId="77777777" w:rsidR="00723221" w:rsidRPr="00F609FC" w:rsidRDefault="00723221" w:rsidP="00F609FC">
      <w:pPr>
        <w:spacing w:line="240" w:lineRule="auto"/>
        <w:jc w:val="both"/>
      </w:pPr>
      <w:r w:rsidRPr="00F609FC">
        <w:t xml:space="preserve">a) </w:t>
      </w:r>
      <w:r w:rsidRPr="00F609FC">
        <w:rPr>
          <w:highlight w:val="lightGray"/>
        </w:rPr>
        <w:t>......</w:t>
      </w:r>
    </w:p>
    <w:p w14:paraId="7EE56A5B" w14:textId="267194A6" w:rsidR="00723221" w:rsidRDefault="00723221" w:rsidP="00F609FC">
      <w:pPr>
        <w:spacing w:line="276" w:lineRule="auto"/>
        <w:jc w:val="both"/>
      </w:pPr>
      <w:r w:rsidRPr="00F609FC">
        <w:lastRenderedPageBreak/>
        <w:t>b) Seja o presente arquivado, após a adoção das providências supra, entendendo-se que não restam demais medidas que justifiquem a continuidade dos trabalhos por</w:t>
      </w:r>
      <w:r w:rsidR="00F609FC">
        <w:t xml:space="preserve"> </w:t>
      </w:r>
      <w:r w:rsidRPr="00F609FC">
        <w:t>parte desta [</w:t>
      </w:r>
      <w:r w:rsidRPr="00F609FC">
        <w:rPr>
          <w:highlight w:val="lightGray"/>
        </w:rPr>
        <w:t>Unidade de Corregedoria/Unidade de Apuração Preliminar</w:t>
      </w:r>
      <w:r w:rsidRPr="00F609FC">
        <w:t>], sem prejuízo</w:t>
      </w:r>
      <w:r w:rsidR="00F609FC">
        <w:t xml:space="preserve"> </w:t>
      </w:r>
      <w:r w:rsidRPr="00F609FC">
        <w:t>de nova apreciação caso fatos novos venham a ser eventualmente comunicados a este</w:t>
      </w:r>
      <w:r w:rsidR="00F609FC">
        <w:t xml:space="preserve"> </w:t>
      </w:r>
      <w:r w:rsidRPr="00F609FC">
        <w:t>órgão.</w:t>
      </w:r>
    </w:p>
    <w:p w14:paraId="3D0B8DD4" w14:textId="77777777" w:rsidR="00F609FC" w:rsidRPr="00F609FC" w:rsidRDefault="00F609FC" w:rsidP="00F609FC">
      <w:pPr>
        <w:spacing w:line="276" w:lineRule="auto"/>
        <w:jc w:val="both"/>
      </w:pPr>
    </w:p>
    <w:p w14:paraId="422E336C" w14:textId="77777777" w:rsidR="00723221" w:rsidRDefault="00723221" w:rsidP="00F609FC">
      <w:pPr>
        <w:spacing w:line="276" w:lineRule="auto"/>
        <w:jc w:val="right"/>
      </w:pPr>
      <w:r w:rsidRPr="00F609FC">
        <w:t>São Paulo, na data da assinatura digital</w:t>
      </w:r>
    </w:p>
    <w:p w14:paraId="3F52BD24" w14:textId="77777777" w:rsidR="00F609FC" w:rsidRPr="00F609FC" w:rsidRDefault="00F609FC" w:rsidP="00F609FC">
      <w:pPr>
        <w:spacing w:line="276" w:lineRule="auto"/>
        <w:jc w:val="right"/>
      </w:pPr>
    </w:p>
    <w:p w14:paraId="154535DC" w14:textId="01779493" w:rsidR="00970E1D" w:rsidRPr="00F609FC" w:rsidRDefault="00723221" w:rsidP="00F609FC">
      <w:pPr>
        <w:spacing w:line="276" w:lineRule="auto"/>
        <w:jc w:val="center"/>
      </w:pPr>
      <w:r w:rsidRPr="00F609FC">
        <w:t>Assinatura</w:t>
      </w:r>
    </w:p>
    <w:sectPr w:rsidR="00970E1D" w:rsidRPr="00F609FC" w:rsidSect="00F609FC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820"/>
    <w:multiLevelType w:val="hybridMultilevel"/>
    <w:tmpl w:val="70AE5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525"/>
    <w:multiLevelType w:val="multilevel"/>
    <w:tmpl w:val="1D5C9C76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2" w15:restartNumberingAfterBreak="0">
    <w:nsid w:val="20C313D8"/>
    <w:multiLevelType w:val="multilevel"/>
    <w:tmpl w:val="1640DB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9D11F8F"/>
    <w:multiLevelType w:val="hybridMultilevel"/>
    <w:tmpl w:val="F348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9128">
    <w:abstractNumId w:val="0"/>
  </w:num>
  <w:num w:numId="2" w16cid:durableId="789129781">
    <w:abstractNumId w:val="3"/>
  </w:num>
  <w:num w:numId="3" w16cid:durableId="695690223">
    <w:abstractNumId w:val="2"/>
  </w:num>
  <w:num w:numId="4" w16cid:durableId="39729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21"/>
    <w:rsid w:val="000F34D4"/>
    <w:rsid w:val="004F0B42"/>
    <w:rsid w:val="00507D92"/>
    <w:rsid w:val="0053079C"/>
    <w:rsid w:val="00723221"/>
    <w:rsid w:val="00970E1D"/>
    <w:rsid w:val="00DD5B6C"/>
    <w:rsid w:val="00F609FC"/>
    <w:rsid w:val="00F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08CC"/>
  <w15:chartTrackingRefBased/>
  <w15:docId w15:val="{E65FD81D-DA8F-4ED2-903D-D38B8AB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32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32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3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32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3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3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32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32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32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32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322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D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AEAD3364-63B6-42DA-86AF-3170FCB084A8}"/>
</file>

<file path=customXml/itemProps2.xml><?xml version="1.0" encoding="utf-8"?>
<ds:datastoreItem xmlns:ds="http://schemas.openxmlformats.org/officeDocument/2006/customXml" ds:itemID="{B5737AE3-BAD2-4A68-A187-77B8D31DBE30}"/>
</file>

<file path=customXml/itemProps3.xml><?xml version="1.0" encoding="utf-8"?>
<ds:datastoreItem xmlns:ds="http://schemas.openxmlformats.org/officeDocument/2006/customXml" ds:itemID="{67C22770-9F60-484C-9348-4B6804AFC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2025-08-08T13:57:00Z</dcterms:created>
  <dcterms:modified xsi:type="dcterms:W3CDTF">2025-08-19T16:42:00Z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